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45085</wp:posOffset>
            </wp:positionH>
            <wp:positionV relativeFrom="paragraph">
              <wp:posOffset>214629</wp:posOffset>
            </wp:positionV>
            <wp:extent cx="907415" cy="923290"/>
            <wp:effectExtent l="0" t="0" r="0" b="0"/>
            <wp:wrapSquare wrapText="bothSides" distT="57150" distB="57150" distL="57150" distR="57150"/>
            <wp:docPr id="1073741829" name="image1.png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1209783</wp:posOffset>
            </wp:positionH>
            <wp:positionV relativeFrom="paragraph">
              <wp:posOffset>214905</wp:posOffset>
            </wp:positionV>
            <wp:extent cx="1063625" cy="871220"/>
            <wp:effectExtent l="0" t="0" r="0" b="0"/>
            <wp:wrapSquare wrapText="bothSides" distT="57150" distB="57150" distL="57150" distR="57150"/>
            <wp:docPr id="1073741830" name="image3.png" descr="M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i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2564130</wp:posOffset>
            </wp:positionH>
            <wp:positionV relativeFrom="paragraph">
              <wp:posOffset>214630</wp:posOffset>
            </wp:positionV>
            <wp:extent cx="997585" cy="963295"/>
            <wp:effectExtent l="0" t="0" r="0" b="0"/>
            <wp:wrapSquare wrapText="bothSides" distT="57150" distB="57150" distL="57150" distR="57150"/>
            <wp:docPr id="1073741828" name="image2.png" descr="Organiz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rganization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6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Glancaster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Bombers Amalgamation Information Sessions &amp; Vote Date </w:t>
      </w: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Over the past weeks and months,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Glanbrook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Ancaster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boards have been working collectively to create a pathway for the amalgamation and structure of the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Glancaster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Bombers.  A lot of hard work has gone into creating and defining how the Bombers will be 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tructured and operate.  We now want to take the following opportunities to share the proposed structure with both the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Glanbrook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&amp;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Ancaster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membership.   Executives from the boards will be in attendance for the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presentation  and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answer questions or concerns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you may have. </w:t>
      </w: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Information Sessions: </w:t>
      </w:r>
    </w:p>
    <w:tbl>
      <w:tblPr>
        <w:tblStyle w:val="a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111"/>
        <w:gridCol w:w="3117"/>
      </w:tblGrid>
      <w:tr w:rsidR="00BB2AB8">
        <w:trPr>
          <w:trHeight w:val="4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September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Glanbrook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Minor Hockey Association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7-9pm @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Glanbrook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 Arena</w:t>
            </w:r>
          </w:p>
        </w:tc>
      </w:tr>
      <w:tr w:rsidR="00BB2AB8">
        <w:trPr>
          <w:trHeight w:val="4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September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Ancaster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 Minor Hockey League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7-9pm @ Morgan Firestone</w:t>
            </w:r>
          </w:p>
        </w:tc>
      </w:tr>
      <w:tr w:rsidR="00BB2AB8">
        <w:trPr>
          <w:trHeight w:val="4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October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Joint AMHL &amp; GMHA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10am-12pm</w:t>
            </w:r>
          </w:p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Mount Hope Community Centre</w:t>
            </w:r>
          </w:p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3027 Homestead Drive</w:t>
            </w:r>
          </w:p>
          <w:p w:rsidR="00BB2AB8" w:rsidRDefault="0025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Mount Hope</w:t>
            </w:r>
          </w:p>
        </w:tc>
      </w:tr>
    </w:tbl>
    <w:p w:rsidR="00BB2AB8" w:rsidRDefault="00BB2A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The presentation will be available on the associations’ websites and a FAQ document will be created and shared as questions arise.</w:t>
      </w: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b/>
          <w:color w:val="222222"/>
          <w:sz w:val="22"/>
          <w:szCs w:val="22"/>
          <w:highlight w:val="white"/>
        </w:rPr>
      </w:pPr>
      <w:r>
        <w:rPr>
          <w:rFonts w:ascii="Verdana" w:eastAsia="Verdana" w:hAnsi="Verdana" w:cs="Verdana"/>
          <w:b/>
          <w:color w:val="222222"/>
          <w:sz w:val="22"/>
          <w:szCs w:val="22"/>
          <w:highlight w:val="white"/>
        </w:rPr>
        <w:t>Amalgamation Membership Vote:</w:t>
      </w:r>
    </w:p>
    <w:p w:rsidR="00BB2AB8" w:rsidRDefault="002547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October </w:t>
      </w:r>
      <w:proofErr w:type="gramStart"/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22  9</w:t>
      </w:r>
      <w:proofErr w:type="gramEnd"/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am – 2pm @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Glanbrook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 Arena + Morgan Firestone Arena</w:t>
      </w:r>
    </w:p>
    <w:p w:rsidR="00BB2AB8" w:rsidRDefault="00BB2A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</w:p>
    <w:p w:rsidR="00BB2AB8" w:rsidRPr="00C70CFB" w:rsidRDefault="00254774" w:rsidP="00C70CF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The boards of directors of AMHL and GMHA</w:t>
      </w:r>
      <w:bookmarkStart w:id="0" w:name="_GoBack"/>
      <w:bookmarkEnd w:id="0"/>
    </w:p>
    <w:sectPr w:rsidR="00BB2AB8" w:rsidRPr="00C70CF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74" w:rsidRDefault="00254774">
      <w:r>
        <w:separator/>
      </w:r>
    </w:p>
  </w:endnote>
  <w:endnote w:type="continuationSeparator" w:id="0">
    <w:p w:rsidR="00254774" w:rsidRDefault="002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AB8" w:rsidRDefault="00BB2AB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74" w:rsidRDefault="00254774">
      <w:r>
        <w:separator/>
      </w:r>
    </w:p>
  </w:footnote>
  <w:footnote w:type="continuationSeparator" w:id="0">
    <w:p w:rsidR="00254774" w:rsidRDefault="0025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AB8" w:rsidRDefault="00BB2AB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B8"/>
    <w:rsid w:val="00254774"/>
    <w:rsid w:val="00BB2AB8"/>
    <w:rsid w:val="00C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94E15"/>
  <w15:docId w15:val="{08CEE655-4102-C447-882B-34C3EA90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54gRd212QmYjE1Q32XPOkzBQw==">AMUW2mW63skbvCreI8TazVHV9hLBpZ/GxcOPNwnQdugq1AwK4jfSpC1Cfj5BhsYVEhnSanuUr4exw+gea9UQqXLEytE8kuXkwJEBikyIzEFvv5H4ZdN1nTs=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Forbes</cp:lastModifiedBy>
  <cp:revision>2</cp:revision>
  <dcterms:created xsi:type="dcterms:W3CDTF">2022-08-21T13:55:00Z</dcterms:created>
  <dcterms:modified xsi:type="dcterms:W3CDTF">2022-08-21T13:55:00Z</dcterms:modified>
</cp:coreProperties>
</file>